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AF" w:rsidRDefault="00A305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Verdana" w:hAnsi="Verdana"/>
          <w:color w:val="000000"/>
          <w:sz w:val="48"/>
        </w:rPr>
      </w:pPr>
      <w:r>
        <w:rPr>
          <w:rFonts w:ascii="Verdana" w:hAnsi="Verdana"/>
          <w:color w:val="000000"/>
          <w:sz w:val="48"/>
        </w:rPr>
        <w:t>Wilford Community Group</w:t>
      </w:r>
    </w:p>
    <w:p w:rsidR="00676DAF" w:rsidRDefault="00676DAF" w:rsidP="003674D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b/>
          <w:bCs/>
          <w:color w:val="000000"/>
          <w:sz w:val="32"/>
          <w:szCs w:val="32"/>
          <w:u w:val="single"/>
        </w:rPr>
      </w:pPr>
      <w:bookmarkStart w:id="0" w:name="_GoBack"/>
      <w:bookmarkEnd w:id="0"/>
    </w:p>
    <w:p w:rsidR="00676DAF" w:rsidRDefault="00A305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sz w:val="36"/>
        </w:rPr>
      </w:pPr>
      <w:r>
        <w:rPr>
          <w:b/>
          <w:color w:val="000000"/>
          <w:sz w:val="36"/>
        </w:rPr>
        <w:t xml:space="preserve">Minutes of the Committee Meeting Held on </w:t>
      </w:r>
    </w:p>
    <w:p w:rsidR="00676DAF" w:rsidRDefault="00A305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sz w:val="36"/>
        </w:rPr>
      </w:pPr>
      <w:r>
        <w:rPr>
          <w:b/>
          <w:color w:val="000000"/>
          <w:sz w:val="36"/>
        </w:rPr>
        <w:t xml:space="preserve">Monday 18th February 2013 </w:t>
      </w:r>
    </w:p>
    <w:p w:rsidR="00676DAF" w:rsidRDefault="00A305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sz w:val="36"/>
        </w:rPr>
      </w:pPr>
      <w:r>
        <w:rPr>
          <w:b/>
          <w:color w:val="000000"/>
          <w:sz w:val="36"/>
        </w:rPr>
        <w:t>At Wilford Social &amp; Bowls Club</w:t>
      </w:r>
    </w:p>
    <w:p w:rsidR="00676DAF" w:rsidRDefault="00A30585">
      <w:pPr>
        <w:pStyle w:val="TableContents"/>
        <w:jc w:val="center"/>
        <w:rPr>
          <w:b/>
          <w:sz w:val="36"/>
        </w:rPr>
      </w:pPr>
      <w:r>
        <w:rPr>
          <w:b/>
          <w:sz w:val="36"/>
        </w:rPr>
        <w:t>at 7:30pm</w:t>
      </w:r>
    </w:p>
    <w:p w:rsidR="00676DAF" w:rsidRDefault="00676DAF">
      <w:pPr>
        <w:pStyle w:val="TableContents"/>
        <w:jc w:val="center"/>
        <w:rPr>
          <w:sz w:val="52"/>
        </w:rPr>
      </w:pPr>
    </w:p>
    <w:p w:rsidR="00676DAF" w:rsidRDefault="00A30585">
      <w:pPr>
        <w:pStyle w:val="TableContents"/>
        <w:ind w:left="2270" w:right="5" w:hanging="2325"/>
      </w:pPr>
      <w:r>
        <w:rPr>
          <w:sz w:val="36"/>
        </w:rPr>
        <w:t xml:space="preserve">  </w:t>
      </w:r>
      <w:r w:rsidR="006A7BDB">
        <w:rPr>
          <w:sz w:val="32"/>
        </w:rPr>
        <w:t xml:space="preserve">Present:              </w:t>
      </w:r>
      <w:r>
        <w:rPr>
          <w:sz w:val="32"/>
        </w:rPr>
        <w:t>Andrew Rule (AR) -Chairperson-</w:t>
      </w:r>
    </w:p>
    <w:p w:rsidR="00676DAF" w:rsidRDefault="006A7BDB">
      <w:pPr>
        <w:pStyle w:val="TableContents"/>
        <w:ind w:left="2270" w:right="5" w:hanging="2325"/>
        <w:rPr>
          <w:sz w:val="32"/>
        </w:rPr>
      </w:pPr>
      <w:r>
        <w:rPr>
          <w:sz w:val="32"/>
        </w:rPr>
        <w:tab/>
      </w:r>
      <w:r w:rsidR="00A30585">
        <w:rPr>
          <w:sz w:val="32"/>
        </w:rPr>
        <w:t>Peter Stiles (PS) – Treasurer</w:t>
      </w:r>
    </w:p>
    <w:p w:rsidR="00676DAF" w:rsidRDefault="00A30585">
      <w:pPr>
        <w:pStyle w:val="TableContents"/>
        <w:ind w:left="2270" w:right="5"/>
        <w:rPr>
          <w:sz w:val="32"/>
        </w:rPr>
      </w:pPr>
      <w:r>
        <w:rPr>
          <w:sz w:val="32"/>
        </w:rPr>
        <w:t>Daniel Atherton (DA) – Minutes</w:t>
      </w:r>
    </w:p>
    <w:p w:rsidR="00676DAF" w:rsidRDefault="00A30585">
      <w:pPr>
        <w:pStyle w:val="TableContents"/>
        <w:ind w:left="2270" w:right="5"/>
        <w:rPr>
          <w:sz w:val="32"/>
        </w:rPr>
      </w:pPr>
      <w:r>
        <w:rPr>
          <w:sz w:val="32"/>
        </w:rPr>
        <w:t>Sheila Atherton (SA)</w:t>
      </w:r>
    </w:p>
    <w:p w:rsidR="00676DAF" w:rsidRDefault="00A30585">
      <w:pPr>
        <w:pStyle w:val="TableContents"/>
        <w:ind w:left="2270" w:right="5"/>
        <w:rPr>
          <w:sz w:val="32"/>
        </w:rPr>
      </w:pPr>
      <w:r>
        <w:rPr>
          <w:sz w:val="32"/>
        </w:rPr>
        <w:t>Alan Foster (AF)</w:t>
      </w:r>
    </w:p>
    <w:p w:rsidR="00676DAF" w:rsidRDefault="00A30585">
      <w:pPr>
        <w:pStyle w:val="TableContents"/>
        <w:ind w:left="2270" w:right="5"/>
        <w:rPr>
          <w:sz w:val="32"/>
        </w:rPr>
      </w:pPr>
      <w:r>
        <w:rPr>
          <w:sz w:val="32"/>
        </w:rPr>
        <w:t>Brian Hardy (BH)</w:t>
      </w:r>
    </w:p>
    <w:p w:rsidR="00676DAF" w:rsidRDefault="00A30585">
      <w:pPr>
        <w:pStyle w:val="TableContents"/>
        <w:ind w:left="2270" w:right="5"/>
        <w:rPr>
          <w:sz w:val="32"/>
        </w:rPr>
      </w:pPr>
      <w:r>
        <w:rPr>
          <w:sz w:val="32"/>
        </w:rPr>
        <w:t>Linda Stiles (LS)</w:t>
      </w:r>
    </w:p>
    <w:p w:rsidR="00676DAF" w:rsidRDefault="00A30585">
      <w:pPr>
        <w:pStyle w:val="TableContents"/>
        <w:ind w:left="2270" w:right="5"/>
        <w:rPr>
          <w:sz w:val="32"/>
        </w:rPr>
      </w:pPr>
      <w:r>
        <w:rPr>
          <w:sz w:val="32"/>
        </w:rPr>
        <w:t>Pat Huxley (PH)</w:t>
      </w:r>
    </w:p>
    <w:p w:rsidR="006A7BDB" w:rsidRDefault="00A30585">
      <w:pPr>
        <w:pStyle w:val="TableContents"/>
        <w:ind w:left="2270" w:right="5"/>
        <w:rPr>
          <w:sz w:val="32"/>
        </w:rPr>
      </w:pPr>
      <w:r>
        <w:rPr>
          <w:sz w:val="32"/>
        </w:rPr>
        <w:t>Frank Wakelin (FW)</w:t>
      </w:r>
    </w:p>
    <w:p w:rsidR="00676DAF" w:rsidRDefault="00A30585">
      <w:pPr>
        <w:pStyle w:val="TableContents"/>
        <w:ind w:left="2270" w:right="5"/>
        <w:rPr>
          <w:sz w:val="32"/>
        </w:rPr>
      </w:pPr>
      <w:r>
        <w:rPr>
          <w:sz w:val="32"/>
        </w:rPr>
        <w:t xml:space="preserve"> Also present;</w:t>
      </w:r>
      <w:r>
        <w:rPr>
          <w:sz w:val="32"/>
        </w:rPr>
        <w:br/>
        <w:t>Councillor Roger Steel (RS)</w:t>
      </w:r>
      <w:r>
        <w:rPr>
          <w:sz w:val="32"/>
        </w:rPr>
        <w:br/>
        <w:t>CPSO Alan Wadley (AW)</w:t>
      </w:r>
    </w:p>
    <w:p w:rsidR="00676DAF" w:rsidRDefault="00676DAF">
      <w:pPr>
        <w:pStyle w:val="TableContents"/>
        <w:ind w:left="2270" w:right="5"/>
        <w:rPr>
          <w:sz w:val="36"/>
        </w:rPr>
      </w:pPr>
    </w:p>
    <w:tbl>
      <w:tblPr>
        <w:tblW w:w="9644" w:type="dxa"/>
        <w:tblInd w:w="-5" w:type="dxa"/>
        <w:tblLayout w:type="fixed"/>
        <w:tblCellMar>
          <w:left w:w="10" w:type="dxa"/>
          <w:right w:w="10" w:type="dxa"/>
        </w:tblCellMar>
        <w:tblLook w:val="0000" w:firstRow="0" w:lastRow="0" w:firstColumn="0" w:lastColumn="0" w:noHBand="0" w:noVBand="0"/>
      </w:tblPr>
      <w:tblGrid>
        <w:gridCol w:w="861"/>
        <w:gridCol w:w="6594"/>
        <w:gridCol w:w="2189"/>
      </w:tblGrid>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TableContents"/>
              <w:snapToGrid w:val="0"/>
            </w:pPr>
            <w:r>
              <w:t>ITEM</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76DAF">
            <w:pPr>
              <w:pStyle w:val="TableContents"/>
              <w:snapToGrid w:val="0"/>
              <w:rPr>
                <w:b/>
              </w:rPr>
            </w:pP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A30585">
            <w:pPr>
              <w:pStyle w:val="TableContents"/>
              <w:snapToGrid w:val="0"/>
            </w:pPr>
            <w:r>
              <w:t>ACTION</w:t>
            </w:r>
          </w:p>
        </w:tc>
      </w:tr>
      <w:tr w:rsidR="00676DAF" w:rsidTr="00676DAF">
        <w:trPr>
          <w:trHeight w:val="393"/>
        </w:trPr>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TableContents"/>
              <w:snapToGrid w:val="0"/>
            </w:pPr>
            <w:r>
              <w:t>1</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rPr>
                <w:b/>
                <w:bCs/>
              </w:rPr>
            </w:pPr>
            <w:r>
              <w:rPr>
                <w:b/>
                <w:bCs/>
              </w:rPr>
              <w:t>Apologies:</w:t>
            </w:r>
          </w:p>
          <w:p w:rsidR="00676DAF" w:rsidRDefault="00A30585">
            <w:pPr>
              <w:pStyle w:val="Standard"/>
              <w:snapToGrid w:val="0"/>
            </w:pPr>
            <w:r>
              <w:t>Dave Boulton, Parbinder Singh, Bill Roughton, Matt Pooley and Irene Haz</w:t>
            </w:r>
            <w:r w:rsidR="009C1BD0">
              <w:t>z</w:t>
            </w:r>
            <w:r>
              <w:t>eldine.</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TableContents"/>
              <w:snapToGrid w:val="0"/>
            </w:pPr>
            <w:r>
              <w:t>2</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rPr>
                <w:b/>
                <w:bCs/>
              </w:rPr>
            </w:pPr>
            <w:r>
              <w:rPr>
                <w:b/>
                <w:bCs/>
              </w:rPr>
              <w:t>Minutes of January 2013 Meeting:</w:t>
            </w:r>
          </w:p>
          <w:p w:rsidR="00676DAF" w:rsidRDefault="00A30585">
            <w:pPr>
              <w:pStyle w:val="Standard"/>
              <w:snapToGrid w:val="0"/>
              <w:rPr>
                <w:lang w:val="en-GB"/>
              </w:rPr>
            </w:pPr>
            <w:r>
              <w:rPr>
                <w:lang w:val="en-GB"/>
              </w:rPr>
              <w:t>Agreed and signed by AR</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rPr>
          <w:trHeight w:val="928"/>
        </w:trPr>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TableContents"/>
              <w:snapToGrid w:val="0"/>
            </w:pPr>
            <w:r>
              <w:t>3</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pPr>
            <w:r>
              <w:rPr>
                <w:b/>
                <w:bCs/>
                <w:lang w:val="en-GB"/>
              </w:rPr>
              <w:t>Asset Transfer TOR:</w:t>
            </w:r>
            <w:r>
              <w:rPr>
                <w:b/>
                <w:lang w:val="en-GB"/>
              </w:rPr>
              <w:br/>
            </w:r>
            <w:r>
              <w:rPr>
                <w:lang w:val="en-GB"/>
              </w:rPr>
              <w:t>AR agreed to remove RS's name from the TOR. This being done the Sub Committee Terms of Reference were agreed.</w:t>
            </w:r>
          </w:p>
          <w:p w:rsidR="00676DAF" w:rsidRDefault="00676DAF">
            <w:pPr>
              <w:pStyle w:val="Standard"/>
              <w:snapToGrid w:val="0"/>
              <w:rPr>
                <w:lang w:val="en-GB"/>
              </w:rPr>
            </w:pPr>
          </w:p>
          <w:p w:rsidR="00676DAF" w:rsidRDefault="00A30585">
            <w:pPr>
              <w:pStyle w:val="Standard"/>
              <w:snapToGrid w:val="0"/>
              <w:rPr>
                <w:lang w:val="en-GB"/>
              </w:rPr>
            </w:pPr>
            <w:r>
              <w:rPr>
                <w:lang w:val="en-GB"/>
              </w:rPr>
              <w:t>AR reported that a meeting had taken place with Charlotte Parker who had expressed an interest in the former library being used a homework club for 9-13 year olds. The meeting had been productive and provided a potential further use for the site in the medium to long term.</w:t>
            </w:r>
            <w:r>
              <w:rPr>
                <w:lang w:val="en-GB"/>
              </w:rPr>
              <w:br/>
            </w:r>
          </w:p>
          <w:p w:rsidR="00676DAF" w:rsidRDefault="00A30585">
            <w:pPr>
              <w:pStyle w:val="Standard"/>
              <w:snapToGrid w:val="0"/>
              <w:rPr>
                <w:lang w:val="en-GB"/>
              </w:rPr>
            </w:pPr>
            <w:r>
              <w:rPr>
                <w:lang w:val="en-GB"/>
              </w:rPr>
              <w:t xml:space="preserve">AR reported that arrangements were still being made with Gleeds in order for them to access the site and provide a structural survey to be used as a basis for the feasibility study. PS raised concerns about the time delay taken in ensuring a successful asset transfer. </w:t>
            </w:r>
          </w:p>
          <w:p w:rsidR="00676DAF" w:rsidRDefault="00676DAF">
            <w:pPr>
              <w:pStyle w:val="Standard"/>
              <w:snapToGrid w:val="0"/>
              <w:rPr>
                <w:lang w:val="en-GB"/>
              </w:rPr>
            </w:pPr>
          </w:p>
          <w:p w:rsidR="00676DAF" w:rsidRDefault="00A30585">
            <w:pPr>
              <w:pStyle w:val="Standard"/>
              <w:snapToGrid w:val="0"/>
              <w:rPr>
                <w:lang w:val="en-GB"/>
              </w:rPr>
            </w:pPr>
            <w:r>
              <w:rPr>
                <w:lang w:val="en-GB"/>
              </w:rPr>
              <w:t xml:space="preserve">SA raised that half of the feasibility plan could be devised at present focusing on the income and funds side of the site. AR emphasised </w:t>
            </w:r>
            <w:r>
              <w:rPr>
                <w:lang w:val="en-GB"/>
              </w:rPr>
              <w:lastRenderedPageBreak/>
              <w:t xml:space="preserve">that the volunteers are out there. </w:t>
            </w:r>
          </w:p>
          <w:p w:rsidR="00676DAF" w:rsidRDefault="00676DAF">
            <w:pPr>
              <w:pStyle w:val="Standard"/>
              <w:snapToGrid w:val="0"/>
              <w:rPr>
                <w:lang w:val="en-GB"/>
              </w:rPr>
            </w:pPr>
          </w:p>
          <w:p w:rsidR="00676DAF" w:rsidRDefault="00A30585">
            <w:pPr>
              <w:pStyle w:val="Standard"/>
              <w:snapToGrid w:val="0"/>
              <w:rPr>
                <w:lang w:val="en-GB"/>
              </w:rPr>
            </w:pPr>
            <w:r>
              <w:rPr>
                <w:lang w:val="en-GB"/>
              </w:rPr>
              <w:t>SA highlighted that the downfall of the past Wilford Boys Club was the pulling out of the council from training a single CRB checked leader.</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TableContents"/>
              <w:snapToGrid w:val="0"/>
            </w:pPr>
            <w:r>
              <w:lastRenderedPageBreak/>
              <w:t>4</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rPr>
                <w:b/>
                <w:bCs/>
              </w:rPr>
            </w:pPr>
            <w:r>
              <w:rPr>
                <w:b/>
                <w:bCs/>
              </w:rPr>
              <w:t>Tram Construction Concerns:</w:t>
            </w:r>
          </w:p>
          <w:p w:rsidR="00676DAF" w:rsidRDefault="00A30585">
            <w:pPr>
              <w:pStyle w:val="Standard"/>
              <w:numPr>
                <w:ilvl w:val="0"/>
                <w:numId w:val="1"/>
              </w:numPr>
              <w:snapToGrid w:val="0"/>
              <w:rPr>
                <w:b/>
                <w:bCs/>
              </w:rPr>
            </w:pPr>
            <w:r>
              <w:rPr>
                <w:b/>
                <w:bCs/>
              </w:rPr>
              <w:t>General:</w:t>
            </w:r>
          </w:p>
          <w:p w:rsidR="00676DAF" w:rsidRDefault="00676DAF">
            <w:pPr>
              <w:pStyle w:val="Standard"/>
              <w:snapToGrid w:val="0"/>
            </w:pPr>
          </w:p>
          <w:p w:rsidR="00676DAF" w:rsidRDefault="00A30585">
            <w:pPr>
              <w:pStyle w:val="Standard"/>
              <w:snapToGrid w:val="0"/>
            </w:pPr>
            <w:r>
              <w:t>PS raised concerns over the condition of Main Road arising from damage caused by heavy goods vehicles during the ongoing construction of the tram and whether any compensation could be obtained for the local area.</w:t>
            </w:r>
          </w:p>
          <w:p w:rsidR="00676DAF" w:rsidRDefault="00676DAF">
            <w:pPr>
              <w:pStyle w:val="Standard"/>
              <w:snapToGrid w:val="0"/>
            </w:pPr>
          </w:p>
          <w:p w:rsidR="00676DAF" w:rsidRDefault="00A30585">
            <w:pPr>
              <w:pStyle w:val="Standard"/>
              <w:snapToGrid w:val="0"/>
            </w:pPr>
            <w:r>
              <w:t>AR informed the meeting that the official compensation window for loss arising from the tram construction does not open until 18 months after the construction is completed.</w:t>
            </w:r>
          </w:p>
          <w:p w:rsidR="00676DAF" w:rsidRDefault="00676DAF">
            <w:pPr>
              <w:pStyle w:val="Standard"/>
              <w:snapToGrid w:val="0"/>
            </w:pPr>
          </w:p>
          <w:p w:rsidR="00676DAF" w:rsidRDefault="00A30585">
            <w:pPr>
              <w:pStyle w:val="Standard"/>
              <w:snapToGrid w:val="0"/>
              <w:rPr>
                <w:bCs/>
              </w:rPr>
            </w:pPr>
            <w:r>
              <w:t xml:space="preserve">RS encouraged that the group contact NET and Tramlink in regard </w:t>
            </w:r>
            <w:r w:rsidR="009C1BD0">
              <w:t>to the</w:t>
            </w:r>
            <w:r>
              <w:t xml:space="preserve"> Main Road</w:t>
            </w:r>
            <w:r w:rsidR="005E735C">
              <w:t xml:space="preserve"> </w:t>
            </w:r>
            <w:r w:rsidR="009C1BD0">
              <w:t>and</w:t>
            </w:r>
            <w:r w:rsidR="005E735C">
              <w:t xml:space="preserve"> </w:t>
            </w:r>
            <w:r>
              <w:rPr>
                <w:bCs/>
              </w:rPr>
              <w:t xml:space="preserve">Coronation Avenue Road </w:t>
            </w:r>
            <w:r w:rsidR="009C1BD0">
              <w:rPr>
                <w:bCs/>
              </w:rPr>
              <w:t>s</w:t>
            </w:r>
            <w:r>
              <w:rPr>
                <w:bCs/>
              </w:rPr>
              <w:t>urface</w:t>
            </w:r>
            <w:r w:rsidR="009C1BD0">
              <w:rPr>
                <w:bCs/>
              </w:rPr>
              <w:t>s.</w:t>
            </w:r>
          </w:p>
          <w:p w:rsidR="009C1BD0" w:rsidRDefault="009C1BD0">
            <w:pPr>
              <w:pStyle w:val="Standard"/>
              <w:snapToGrid w:val="0"/>
              <w:rPr>
                <w:bCs/>
              </w:rPr>
            </w:pPr>
          </w:p>
          <w:p w:rsidR="00676DAF" w:rsidRDefault="00A30585">
            <w:pPr>
              <w:pStyle w:val="Standard"/>
              <w:snapToGrid w:val="0"/>
            </w:pPr>
            <w:r>
              <w:t>AR stated that Parbinder Singh had provided a central contact number for reporting maintenance issues with roads in the Village – 01159 152000.</w:t>
            </w:r>
          </w:p>
          <w:p w:rsidR="00676DAF" w:rsidRDefault="00A30585">
            <w:pPr>
              <w:pStyle w:val="Standard"/>
              <w:snapToGrid w:val="0"/>
            </w:pPr>
            <w:r>
              <w:t xml:space="preserve"> </w:t>
            </w:r>
          </w:p>
          <w:p w:rsidR="00676DAF" w:rsidRDefault="00A30585">
            <w:pPr>
              <w:pStyle w:val="Standard"/>
              <w:snapToGrid w:val="0"/>
            </w:pPr>
            <w:r>
              <w:t xml:space="preserve">AR proposed that the group incorporates both roads into </w:t>
            </w:r>
            <w:r w:rsidR="009C1BD0">
              <w:t>its</w:t>
            </w:r>
            <w:r>
              <w:t xml:space="preserve"> concern</w:t>
            </w:r>
            <w:r w:rsidR="009C1BD0">
              <w:t>s</w:t>
            </w:r>
            <w:r>
              <w:t>. WCG/AR will contact Tram</w:t>
            </w:r>
            <w:r w:rsidR="009C1BD0">
              <w:t>l</w:t>
            </w:r>
            <w:r>
              <w:t>ink/NET.</w:t>
            </w:r>
          </w:p>
          <w:p w:rsidR="00676DAF" w:rsidRDefault="00676DAF">
            <w:pPr>
              <w:pStyle w:val="Standard"/>
              <w:snapToGrid w:val="0"/>
            </w:pPr>
          </w:p>
          <w:p w:rsidR="00676DAF" w:rsidRDefault="00A30585" w:rsidP="009C1BD0">
            <w:pPr>
              <w:pStyle w:val="Standard"/>
              <w:snapToGrid w:val="0"/>
            </w:pPr>
            <w:r>
              <w:t>RS state that a  local university had been conducting trials on the best long-term solution for resolving issues with pot-holes. AR to  make contact.</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r>
              <w:rPr>
                <w:sz w:val="20"/>
              </w:rPr>
              <w:t xml:space="preserve"> AR</w:t>
            </w: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p>
          <w:p w:rsidR="006A7BDB" w:rsidRDefault="006A7BDB">
            <w:pPr>
              <w:pStyle w:val="Standard"/>
              <w:snapToGrid w:val="0"/>
              <w:rPr>
                <w:sz w:val="20"/>
              </w:rPr>
            </w:pPr>
            <w:r>
              <w:rPr>
                <w:sz w:val="20"/>
              </w:rPr>
              <w:t xml:space="preserve"> AR</w:t>
            </w: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A7BDB">
            <w:pPr>
              <w:pStyle w:val="TableContents"/>
              <w:snapToGrid w:val="0"/>
            </w:pPr>
            <w:r>
              <w:t>4</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numPr>
                <w:ilvl w:val="0"/>
                <w:numId w:val="1"/>
              </w:numPr>
              <w:snapToGrid w:val="0"/>
              <w:rPr>
                <w:b/>
                <w:bCs/>
              </w:rPr>
            </w:pPr>
            <w:r>
              <w:rPr>
                <w:b/>
                <w:bCs/>
              </w:rPr>
              <w:t>Impact on LocalLink Service:</w:t>
            </w:r>
          </w:p>
          <w:p w:rsidR="00676DAF" w:rsidRDefault="00A30585">
            <w:pPr>
              <w:pStyle w:val="Standard"/>
              <w:snapToGrid w:val="0"/>
            </w:pPr>
            <w:r>
              <w:t>It was reported that the on the afternoon of the 6</w:t>
            </w:r>
            <w:r>
              <w:rPr>
                <w:vertAlign w:val="superscript"/>
              </w:rPr>
              <w:t>th</w:t>
            </w:r>
            <w:r>
              <w:t xml:space="preserve"> of February, the </w:t>
            </w:r>
            <w:r w:rsidR="009C1BD0">
              <w:t>Lo</w:t>
            </w:r>
            <w:r>
              <w:t>cal</w:t>
            </w:r>
            <w:r w:rsidR="009C1BD0">
              <w:t>L</w:t>
            </w:r>
            <w:r>
              <w:t xml:space="preserve">ink </w:t>
            </w:r>
            <w:r w:rsidR="009C1BD0">
              <w:t xml:space="preserve">bus </w:t>
            </w:r>
            <w:r>
              <w:t xml:space="preserve">service </w:t>
            </w:r>
            <w:r w:rsidR="009C1BD0">
              <w:t xml:space="preserve">had </w:t>
            </w:r>
            <w:r>
              <w:t>bypassed the village after being unable  to access Coronat</w:t>
            </w:r>
            <w:r w:rsidR="009C1BD0">
              <w:t>io</w:t>
            </w:r>
            <w:r>
              <w:t xml:space="preserve">n Avenue due to tram construction traffic.BH asked that the group contact the contractors to ensure that this disruption </w:t>
            </w:r>
            <w:r w:rsidR="009C1BD0">
              <w:t xml:space="preserve">does </w:t>
            </w:r>
            <w:r>
              <w:t xml:space="preserve">not happen again, and that </w:t>
            </w:r>
            <w:r w:rsidR="009C1BD0">
              <w:t>PCSO Alan Wadley monitors the situation.</w:t>
            </w:r>
          </w:p>
          <w:p w:rsidR="00676DAF" w:rsidRDefault="00676DAF">
            <w:pPr>
              <w:pStyle w:val="Standard"/>
              <w:snapToGrid w:val="0"/>
            </w:pPr>
          </w:p>
          <w:p w:rsidR="00676DAF" w:rsidRDefault="00A30585">
            <w:pPr>
              <w:pStyle w:val="Standard"/>
              <w:snapToGrid w:val="0"/>
            </w:pPr>
            <w:r>
              <w:t>PH raised concerns that tram construction traffic was also obstructing pedestrian footpaths.</w:t>
            </w:r>
          </w:p>
          <w:p w:rsidR="00676DAF" w:rsidRDefault="00676DAF">
            <w:pPr>
              <w:pStyle w:val="Standard"/>
              <w:snapToGrid w:val="0"/>
            </w:pPr>
          </w:p>
          <w:p w:rsidR="00676DAF" w:rsidRDefault="00A30585">
            <w:pPr>
              <w:pStyle w:val="Standard"/>
              <w:snapToGrid w:val="0"/>
            </w:pPr>
            <w:r>
              <w:t xml:space="preserve">PS raised that there were concerns </w:t>
            </w:r>
            <w:r w:rsidR="00BC13E5">
              <w:t>regarding</w:t>
            </w:r>
            <w:r>
              <w:t xml:space="preserve"> the </w:t>
            </w:r>
            <w:r w:rsidR="009C1BD0">
              <w:t>L</w:t>
            </w:r>
            <w:r>
              <w:t>ocal</w:t>
            </w:r>
            <w:r w:rsidR="009C1BD0">
              <w:t>L</w:t>
            </w:r>
            <w:r>
              <w:t>ink being withdrawn due to the council</w:t>
            </w:r>
            <w:r w:rsidR="00BC13E5">
              <w:t>’</w:t>
            </w:r>
            <w:r>
              <w:t>s growing use of solely electric buses. RS refuted this and reported that he provided DB with a detailed response to this concern.</w:t>
            </w:r>
          </w:p>
          <w:p w:rsidR="00676DAF" w:rsidRDefault="00676DAF">
            <w:pPr>
              <w:pStyle w:val="Standard"/>
              <w:snapToGrid w:val="0"/>
            </w:pPr>
          </w:p>
          <w:p w:rsidR="00676DAF" w:rsidRDefault="00A30585">
            <w:pPr>
              <w:pStyle w:val="Standard"/>
              <w:snapToGrid w:val="0"/>
            </w:pPr>
            <w:r>
              <w:t xml:space="preserve">PS </w:t>
            </w:r>
            <w:r w:rsidR="00BC13E5">
              <w:t>advised</w:t>
            </w:r>
            <w:r>
              <w:t xml:space="preserve"> that parking restrictions were due to be installed, weather permitting, on the 25</w:t>
            </w:r>
            <w:r>
              <w:rPr>
                <w:vertAlign w:val="superscript"/>
              </w:rPr>
              <w:t>th</w:t>
            </w:r>
            <w:r>
              <w:t xml:space="preserve"> of February and they would  be in force from March 5</w:t>
            </w:r>
            <w:r>
              <w:rPr>
                <w:vertAlign w:val="superscript"/>
              </w:rPr>
              <w:t>th</w:t>
            </w:r>
            <w:r>
              <w:t>. AW confirmed that the police would not be responsible for enforcement as restriction enforcement was within the jurisdiction of Nottingham City Council not the police.</w:t>
            </w:r>
          </w:p>
          <w:p w:rsidR="00676DAF" w:rsidRDefault="00676DAF">
            <w:pPr>
              <w:pStyle w:val="Standard"/>
              <w:snapToGrid w:val="0"/>
            </w:pPr>
          </w:p>
          <w:p w:rsidR="00676DAF" w:rsidRDefault="00676DAF">
            <w:pPr>
              <w:pStyle w:val="Standard"/>
              <w:snapToGrid w:val="0"/>
            </w:pPr>
          </w:p>
          <w:p w:rsidR="00676DAF" w:rsidRDefault="00676DAF">
            <w:pPr>
              <w:pStyle w:val="Standard"/>
              <w:snapToGrid w:val="0"/>
            </w:pP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A7BDB">
            <w:pPr>
              <w:pStyle w:val="TableContents"/>
              <w:snapToGrid w:val="0"/>
            </w:pPr>
            <w:r>
              <w:lastRenderedPageBreak/>
              <w:t>5</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pPr>
            <w:r>
              <w:rPr>
                <w:b/>
                <w:bCs/>
              </w:rPr>
              <w:t>Update from Area Committee Meeting:</w:t>
            </w:r>
            <w:r>
              <w:br/>
              <w:t xml:space="preserve">AR relayed that the proposed expansion of Riverside Primary School in the Meadows had moved into the statutory consultation phase. The Area </w:t>
            </w:r>
            <w:r w:rsidR="005E735C">
              <w:t>Committee</w:t>
            </w:r>
            <w:r>
              <w:t xml:space="preserve"> had been assured that the expansion of Riverside would not affect School placement provision within the Wilford Diocese, and would not divert any funding or resources going into local Primary Schools.</w:t>
            </w:r>
          </w:p>
          <w:p w:rsidR="00676DAF" w:rsidRDefault="00676DAF">
            <w:pPr>
              <w:pStyle w:val="Standard"/>
              <w:snapToGrid w:val="0"/>
            </w:pPr>
          </w:p>
          <w:p w:rsidR="00676DAF" w:rsidRDefault="00A30585">
            <w:pPr>
              <w:pStyle w:val="Standard"/>
              <w:snapToGrid w:val="0"/>
            </w:pPr>
            <w:r>
              <w:t>The  Nottingham Wildlife Trust has entered into a  service agreement with Nottingham City Council to manage woodland areas in Clifton including Clifton Grove. The woodland management aspect includes the felling of a significant number of non native trees in the Grove to promote native wildlife. AR stated that significant opposition had been raised from local residents particularly as the Grove was originally designated as heritage woodland, for public usage, not as a wildlife habitat per se. AR further stated that the resolution approving further action from the Wildlife Trust had been amended to delay felling until more thorough consultation with local residents had been carried out.</w:t>
            </w:r>
          </w:p>
          <w:p w:rsidR="00676DAF" w:rsidRDefault="00676DAF">
            <w:pPr>
              <w:pStyle w:val="Standard"/>
              <w:snapToGrid w:val="0"/>
            </w:pPr>
          </w:p>
          <w:p w:rsidR="00676DAF" w:rsidRDefault="00A30585">
            <w:pPr>
              <w:pStyle w:val="Standard"/>
              <w:snapToGrid w:val="0"/>
            </w:pPr>
            <w:r>
              <w:t>RS raised that WCG should attend any consultation meetings as the Grove in particular was an important local asset readily accessible from Wilford.</w:t>
            </w:r>
          </w:p>
          <w:p w:rsidR="00676DAF" w:rsidRDefault="00676DAF">
            <w:pPr>
              <w:pStyle w:val="Standard"/>
              <w:snapToGrid w:val="0"/>
            </w:pPr>
          </w:p>
          <w:p w:rsidR="00676DAF" w:rsidRDefault="00A30585">
            <w:pPr>
              <w:pStyle w:val="Standard"/>
              <w:snapToGrid w:val="0"/>
            </w:pPr>
            <w:r>
              <w:t xml:space="preserve">RS further stated that there will be a decision on the Wind Turbines opposite Clifton Grove, north of the river, on Wednesday. </w:t>
            </w:r>
          </w:p>
          <w:p w:rsidR="00676DAF" w:rsidRDefault="00676DAF">
            <w:pPr>
              <w:pStyle w:val="Standard"/>
              <w:snapToGrid w:val="0"/>
            </w:pPr>
          </w:p>
          <w:p w:rsidR="00676DAF" w:rsidRDefault="00A30585">
            <w:pPr>
              <w:pStyle w:val="Standard"/>
              <w:snapToGrid w:val="0"/>
            </w:pPr>
            <w:r>
              <w:t xml:space="preserve">AR reported that The Meadows has been invited to take part in the Britain in Bloom Scheme by the Royal Horticultural Society </w:t>
            </w:r>
          </w:p>
          <w:p w:rsidR="00676DAF" w:rsidRDefault="00676DAF">
            <w:pPr>
              <w:pStyle w:val="Standard"/>
              <w:snapToGrid w:val="0"/>
            </w:pPr>
          </w:p>
          <w:p w:rsidR="00676DAF" w:rsidRDefault="00A30585">
            <w:pPr>
              <w:pStyle w:val="Standard"/>
              <w:snapToGrid w:val="0"/>
            </w:pPr>
            <w:r>
              <w:t>The new plans for the Victoria Embankment redesign are now available on the Nottingham City Council website.</w:t>
            </w:r>
          </w:p>
          <w:p w:rsidR="00676DAF" w:rsidRDefault="00676DAF">
            <w:pPr>
              <w:pStyle w:val="Standard"/>
              <w:snapToGrid w:val="0"/>
            </w:pPr>
          </w:p>
          <w:p w:rsidR="00676DAF" w:rsidRDefault="00A30585">
            <w:pPr>
              <w:pStyle w:val="Standard"/>
              <w:snapToGrid w:val="0"/>
            </w:pPr>
            <w:r>
              <w:t>AR will be attending a meeting regarding grant applications, representing Clifton North in the City on Tuesday 18</w:t>
            </w:r>
            <w:r>
              <w:rPr>
                <w:vertAlign w:val="superscript"/>
              </w:rPr>
              <w:t>th</w:t>
            </w:r>
            <w:r>
              <w:t>.</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p>
          <w:p w:rsidR="006A7BDB" w:rsidRDefault="006A7BDB">
            <w:pPr>
              <w:pStyle w:val="Standard"/>
              <w:snapToGrid w:val="0"/>
              <w:rPr>
                <w:lang w:val="en-GB"/>
              </w:rPr>
            </w:pPr>
            <w:r>
              <w:rPr>
                <w:lang w:val="en-GB"/>
              </w:rPr>
              <w:t xml:space="preserve"> ALL</w:t>
            </w: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A7BDB">
            <w:pPr>
              <w:pStyle w:val="TableContents"/>
              <w:snapToGrid w:val="0"/>
            </w:pPr>
            <w:r>
              <w:t>6</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rPr>
                <w:b/>
                <w:bCs/>
              </w:rPr>
            </w:pPr>
            <w:r>
              <w:rPr>
                <w:b/>
                <w:bCs/>
              </w:rPr>
              <w:t>Speed Monitor:</w:t>
            </w:r>
          </w:p>
          <w:p w:rsidR="00676DAF" w:rsidRDefault="00A30585">
            <w:pPr>
              <w:pStyle w:val="Standard"/>
              <w:snapToGrid w:val="0"/>
            </w:pPr>
            <w:r>
              <w:t>DB currently has the equipment and will make arrangements with AR to install it shortly.</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Standard"/>
              <w:snapToGrid w:val="0"/>
            </w:pPr>
          </w:p>
          <w:p w:rsidR="006A7BDB" w:rsidRDefault="006A7BDB">
            <w:pPr>
              <w:pStyle w:val="Standard"/>
              <w:snapToGrid w:val="0"/>
            </w:pPr>
            <w:r>
              <w:t xml:space="preserve"> DB/AR</w:t>
            </w: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A7BDB">
            <w:pPr>
              <w:pStyle w:val="TableContents"/>
              <w:snapToGrid w:val="0"/>
            </w:pPr>
            <w:r>
              <w:t>7</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rPr>
                <w:b/>
                <w:bCs/>
              </w:rPr>
            </w:pPr>
            <w:r>
              <w:rPr>
                <w:b/>
                <w:bCs/>
              </w:rPr>
              <w:t>Mobile Library:</w:t>
            </w:r>
          </w:p>
          <w:p w:rsidR="00676DAF" w:rsidRDefault="00A30585">
            <w:pPr>
              <w:pStyle w:val="Standard"/>
              <w:snapToGrid w:val="0"/>
            </w:pPr>
            <w:r>
              <w:t xml:space="preserve">AR attended the leader listens meeting at Lark Hill. Jon Collins stated that the main reason for the removal of the </w:t>
            </w:r>
            <w:r w:rsidR="009C1BD0">
              <w:t xml:space="preserve">mobile </w:t>
            </w:r>
            <w:r>
              <w:t>library, was due to an ageing vehicle and the cost of replacement. Jon Collins stated that the closure of several libraries was part of a consolidation of libraries.</w:t>
            </w:r>
          </w:p>
          <w:p w:rsidR="00676DAF" w:rsidRDefault="00676DAF">
            <w:pPr>
              <w:pStyle w:val="Standard"/>
              <w:snapToGrid w:val="0"/>
            </w:pPr>
          </w:p>
          <w:p w:rsidR="00676DAF" w:rsidRDefault="00A30585">
            <w:pPr>
              <w:pStyle w:val="Standard"/>
              <w:snapToGrid w:val="0"/>
            </w:pPr>
            <w:r>
              <w:t xml:space="preserve">AR additionally informed the meeting that he had raised concerns over the closure of the Mobile Library with Cllr David Trimble the Portfolio Holder responsible for libraries. Cllr Trimble had forwarded AR’s correspondence to the Library Service who had responded with the same reasons as Jon Collins for the mobile </w:t>
            </w:r>
            <w:r>
              <w:lastRenderedPageBreak/>
              <w:t>service being cancelled.</w:t>
            </w:r>
          </w:p>
          <w:p w:rsidR="00676DAF" w:rsidRDefault="00A30585">
            <w:pPr>
              <w:pStyle w:val="Standard"/>
              <w:snapToGrid w:val="0"/>
            </w:pPr>
            <w:r>
              <w:t>.</w:t>
            </w:r>
          </w:p>
          <w:p w:rsidR="00676DAF" w:rsidRDefault="00A30585">
            <w:pPr>
              <w:pStyle w:val="Standard"/>
              <w:snapToGrid w:val="0"/>
            </w:pPr>
            <w:r>
              <w:t xml:space="preserve">PS confirmed </w:t>
            </w:r>
            <w:r w:rsidR="009C1BD0">
              <w:t xml:space="preserve">that </w:t>
            </w:r>
            <w:r>
              <w:t>AR’s response from the Library Service mirrored a response he had received previously.</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A7BDB">
            <w:pPr>
              <w:pStyle w:val="TableContents"/>
              <w:snapToGrid w:val="0"/>
            </w:pPr>
            <w:r>
              <w:lastRenderedPageBreak/>
              <w:t>8</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rPr>
                <w:b/>
                <w:bCs/>
              </w:rPr>
            </w:pPr>
            <w:r>
              <w:rPr>
                <w:b/>
                <w:bCs/>
              </w:rPr>
              <w:t>First Aid Training Course:</w:t>
            </w:r>
          </w:p>
          <w:p w:rsidR="00676DAF" w:rsidRDefault="00A30585" w:rsidP="009C1BD0">
            <w:pPr>
              <w:pStyle w:val="Standard"/>
              <w:snapToGrid w:val="0"/>
            </w:pPr>
            <w:r>
              <w:t xml:space="preserve">BH suggested first aid training could </w:t>
            </w:r>
            <w:r w:rsidR="009C1BD0">
              <w:t xml:space="preserve">be </w:t>
            </w:r>
            <w:r>
              <w:t>pursued by the Group. The Group requested that BH research possible providers and report back with costs at the next meeting</w:t>
            </w:r>
            <w:r w:rsidR="009C1BD0">
              <w:t>.</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p w:rsidR="006A7BDB" w:rsidRDefault="006A7BDB">
            <w:pPr>
              <w:pStyle w:val="TableContents"/>
              <w:snapToGrid w:val="0"/>
            </w:pPr>
          </w:p>
          <w:p w:rsidR="006A7BDB" w:rsidRDefault="006A7BDB">
            <w:pPr>
              <w:pStyle w:val="TableContents"/>
              <w:snapToGrid w:val="0"/>
            </w:pPr>
          </w:p>
          <w:p w:rsidR="006A7BDB" w:rsidRDefault="006A7BDB">
            <w:pPr>
              <w:pStyle w:val="TableContents"/>
              <w:snapToGrid w:val="0"/>
            </w:pPr>
            <w:r>
              <w:t xml:space="preserve">  BH</w:t>
            </w:r>
          </w:p>
        </w:tc>
      </w:tr>
      <w:tr w:rsidR="00676DAF" w:rsidTr="00676DAF">
        <w:trPr>
          <w:trHeight w:val="807"/>
        </w:trPr>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A7BDB">
            <w:pPr>
              <w:pStyle w:val="TableContents"/>
              <w:snapToGrid w:val="0"/>
            </w:pPr>
            <w:r>
              <w:t>9</w:t>
            </w: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A30585">
            <w:pPr>
              <w:pStyle w:val="Standard"/>
              <w:snapToGrid w:val="0"/>
            </w:pPr>
            <w:r>
              <w:rPr>
                <w:b/>
                <w:bCs/>
              </w:rPr>
              <w:t>AOB</w:t>
            </w:r>
            <w:r>
              <w:rPr>
                <w:bCs/>
              </w:rPr>
              <w:t>:</w:t>
            </w:r>
          </w:p>
          <w:p w:rsidR="00676DAF" w:rsidRDefault="00A30585">
            <w:pPr>
              <w:pStyle w:val="Standard"/>
              <w:snapToGrid w:val="0"/>
            </w:pPr>
            <w:r>
              <w:t xml:space="preserve">AR stated that following the success of </w:t>
            </w:r>
            <w:r w:rsidR="009C1BD0">
              <w:t xml:space="preserve">the </w:t>
            </w:r>
            <w:r>
              <w:t>Jubilee Celebrations he had met with Phil Marsh to discuss a possible summer event and that this was now being pursued further by both parties.</w:t>
            </w:r>
          </w:p>
          <w:p w:rsidR="00676DAF" w:rsidRDefault="00676DAF">
            <w:pPr>
              <w:pStyle w:val="Standard"/>
              <w:snapToGrid w:val="0"/>
            </w:pPr>
          </w:p>
          <w:p w:rsidR="00676DAF" w:rsidRDefault="00A30585">
            <w:pPr>
              <w:pStyle w:val="Standard"/>
              <w:snapToGrid w:val="0"/>
            </w:pPr>
            <w:r>
              <w:t>Josie Foster informed the meeting that the local WI Group has been dissolved as it had been unable to elect a management committee due to a lack of volunteers.</w:t>
            </w:r>
          </w:p>
          <w:p w:rsidR="00676DAF" w:rsidRDefault="00A30585">
            <w:pPr>
              <w:pStyle w:val="Standard"/>
              <w:snapToGrid w:val="0"/>
            </w:pPr>
            <w:r>
              <w:t>RS raised that this could present financial difficulty for the Carter Hall and Church.</w:t>
            </w:r>
          </w:p>
          <w:p w:rsidR="00676DAF" w:rsidRDefault="00676DAF">
            <w:pPr>
              <w:pStyle w:val="Standard"/>
              <w:snapToGrid w:val="0"/>
            </w:pPr>
          </w:p>
          <w:p w:rsidR="00676DAF" w:rsidRDefault="00A30585">
            <w:pPr>
              <w:pStyle w:val="Standard"/>
              <w:snapToGrid w:val="0"/>
            </w:pPr>
            <w:r>
              <w:t>AW  informed the meeting that since the crime report presented at the last meeting there has been a car break</w:t>
            </w:r>
            <w:r w:rsidR="009C1BD0">
              <w:t>-in</w:t>
            </w:r>
            <w:r>
              <w:t xml:space="preserve"> at the lower green in Wilford, several instances of anti-social behavior on the Toll Bridge, and a theft from the Co-Op.</w:t>
            </w:r>
          </w:p>
          <w:p w:rsidR="00676DAF" w:rsidRDefault="00676DAF">
            <w:pPr>
              <w:pStyle w:val="Standard"/>
              <w:snapToGrid w:val="0"/>
            </w:pPr>
          </w:p>
          <w:p w:rsidR="00676DAF" w:rsidRDefault="00A30585">
            <w:pPr>
              <w:pStyle w:val="Standard"/>
              <w:snapToGrid w:val="0"/>
            </w:pPr>
            <w:r>
              <w:t>J</w:t>
            </w:r>
            <w:r w:rsidR="00F33D83">
              <w:t xml:space="preserve">osie </w:t>
            </w:r>
            <w:r>
              <w:t>F</w:t>
            </w:r>
            <w:r w:rsidR="00F33D83">
              <w:t>oster</w:t>
            </w:r>
            <w:r>
              <w:t xml:space="preserve"> enquired whether Taylor Woodrow would reinstate the face of the Toll Bridge Pillars. AR confirmed this had been raised at the first liaison meeting with the contractors and they would be reinstated.</w:t>
            </w:r>
          </w:p>
          <w:p w:rsidR="00676DAF" w:rsidRDefault="00676DAF">
            <w:pPr>
              <w:pStyle w:val="Standard"/>
              <w:snapToGrid w:val="0"/>
            </w:pPr>
          </w:p>
          <w:p w:rsidR="00676DAF" w:rsidRDefault="00A30585">
            <w:pPr>
              <w:pStyle w:val="Standard"/>
              <w:snapToGrid w:val="0"/>
            </w:pPr>
            <w:r>
              <w:t>RS stated that NCC is currently being very proactive in preventing and enforcing against dog fouling, and asked for any instances of fouling be reported to the council.</w:t>
            </w:r>
          </w:p>
          <w:p w:rsidR="00676DAF" w:rsidRDefault="00676DAF">
            <w:pPr>
              <w:pStyle w:val="Standard"/>
              <w:snapToGrid w:val="0"/>
            </w:pPr>
          </w:p>
          <w:p w:rsidR="00676DAF" w:rsidRDefault="00A30585" w:rsidP="006A7BDB">
            <w:pPr>
              <w:pStyle w:val="Standard"/>
              <w:snapToGrid w:val="0"/>
            </w:pPr>
            <w:r>
              <w:t>AW stated that there had been further instances of graffiti on the Queen’s Drive side of the B-Bank wall and that a clean</w:t>
            </w:r>
            <w:r w:rsidR="009C1BD0">
              <w:t>-</w:t>
            </w:r>
            <w:r>
              <w:t>up was in progress. AW stated that further deterrent measures were currently being explored.</w:t>
            </w: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c>
          <w:tcPr>
            <w:tcW w:w="861"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c>
          <w:tcPr>
            <w:tcW w:w="6594" w:type="dxa"/>
            <w:tcBorders>
              <w:left w:val="single" w:sz="4" w:space="0" w:color="000000"/>
              <w:bottom w:val="single" w:sz="4" w:space="0" w:color="000000"/>
            </w:tcBorders>
            <w:shd w:val="clear" w:color="auto" w:fill="auto"/>
            <w:tcMar>
              <w:top w:w="0" w:type="dxa"/>
              <w:left w:w="0" w:type="dxa"/>
              <w:bottom w:w="0" w:type="dxa"/>
              <w:right w:w="0" w:type="dxa"/>
            </w:tcMar>
          </w:tcPr>
          <w:p w:rsidR="00676DAF" w:rsidRDefault="00676DAF">
            <w:pPr>
              <w:pStyle w:val="Standard"/>
              <w:snapToGrid w:val="0"/>
              <w:rPr>
                <w:b/>
              </w:rPr>
            </w:pPr>
          </w:p>
        </w:tc>
        <w:tc>
          <w:tcPr>
            <w:tcW w:w="2189"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pPr>
          </w:p>
        </w:tc>
      </w:tr>
      <w:tr w:rsidR="00676DAF" w:rsidTr="00676DAF">
        <w:tc>
          <w:tcPr>
            <w:tcW w:w="9644" w:type="dxa"/>
            <w:gridSpan w:val="3"/>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76DAF" w:rsidRDefault="00676DAF">
            <w:pPr>
              <w:pStyle w:val="TableContents"/>
              <w:snapToGrid w:val="0"/>
              <w:rPr>
                <w:b/>
              </w:rPr>
            </w:pPr>
          </w:p>
          <w:p w:rsidR="00676DAF" w:rsidRDefault="00676DAF">
            <w:pPr>
              <w:pStyle w:val="TableContents"/>
              <w:snapToGrid w:val="0"/>
              <w:rPr>
                <w:b/>
                <w:u w:val="single"/>
              </w:rPr>
            </w:pPr>
          </w:p>
          <w:p w:rsidR="00676DAF" w:rsidRDefault="00A30585">
            <w:pPr>
              <w:pStyle w:val="Standard"/>
              <w:jc w:val="center"/>
            </w:pPr>
            <w:r>
              <w:rPr>
                <w:b/>
                <w:sz w:val="30"/>
                <w:u w:val="single"/>
              </w:rPr>
              <w:t>The meeting was closed at 8:47pm by Andrew Rule.</w:t>
            </w:r>
          </w:p>
          <w:p w:rsidR="00676DAF" w:rsidRDefault="00676DAF">
            <w:pPr>
              <w:pStyle w:val="Standard"/>
              <w:jc w:val="center"/>
              <w:rPr>
                <w:b/>
                <w:bCs/>
                <w:i/>
                <w:iCs/>
              </w:rPr>
            </w:pPr>
          </w:p>
          <w:p w:rsidR="00676DAF" w:rsidRDefault="00676DAF">
            <w:pPr>
              <w:pStyle w:val="Standard"/>
              <w:jc w:val="center"/>
              <w:rPr>
                <w:b/>
                <w:u w:val="single"/>
              </w:rPr>
            </w:pPr>
          </w:p>
        </w:tc>
      </w:tr>
    </w:tbl>
    <w:p w:rsidR="00676DAF" w:rsidRDefault="00676DAF">
      <w:pPr>
        <w:pStyle w:val="Standard"/>
      </w:pPr>
    </w:p>
    <w:sectPr w:rsidR="00676DAF" w:rsidSect="00676DAF">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23" w:rsidRDefault="003D0623" w:rsidP="00676DAF">
      <w:r>
        <w:separator/>
      </w:r>
    </w:p>
  </w:endnote>
  <w:endnote w:type="continuationSeparator" w:id="0">
    <w:p w:rsidR="003D0623" w:rsidRDefault="003D0623" w:rsidP="0067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23" w:rsidRDefault="003D0623" w:rsidP="00676DAF">
      <w:r w:rsidRPr="00676DAF">
        <w:rPr>
          <w:color w:val="000000"/>
        </w:rPr>
        <w:separator/>
      </w:r>
    </w:p>
  </w:footnote>
  <w:footnote w:type="continuationSeparator" w:id="0">
    <w:p w:rsidR="003D0623" w:rsidRDefault="003D0623" w:rsidP="00676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6D07"/>
    <w:multiLevelType w:val="multilevel"/>
    <w:tmpl w:val="F4A856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AF"/>
    <w:rsid w:val="00222D95"/>
    <w:rsid w:val="003674DB"/>
    <w:rsid w:val="003D0623"/>
    <w:rsid w:val="005A11C3"/>
    <w:rsid w:val="005E735C"/>
    <w:rsid w:val="00626353"/>
    <w:rsid w:val="00676DAF"/>
    <w:rsid w:val="006A7BDB"/>
    <w:rsid w:val="009C1BD0"/>
    <w:rsid w:val="00A30585"/>
    <w:rsid w:val="00AB222D"/>
    <w:rsid w:val="00BC13E5"/>
    <w:rsid w:val="00EF3323"/>
    <w:rsid w:val="00F3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6DAF"/>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76DAF"/>
    <w:pPr>
      <w:suppressAutoHyphens/>
    </w:pPr>
    <w:rPr>
      <w:rFonts w:eastAsia="Times New Roman" w:cs="Times New Roman"/>
      <w:szCs w:val="20"/>
    </w:rPr>
  </w:style>
  <w:style w:type="paragraph" w:customStyle="1" w:styleId="Heading">
    <w:name w:val="Heading"/>
    <w:basedOn w:val="Standard"/>
    <w:next w:val="Textbody"/>
    <w:rsid w:val="00676DAF"/>
    <w:pPr>
      <w:keepNext/>
      <w:spacing w:before="240" w:after="120"/>
    </w:pPr>
    <w:rPr>
      <w:rFonts w:ascii="Arial" w:hAnsi="Arial"/>
      <w:sz w:val="28"/>
    </w:rPr>
  </w:style>
  <w:style w:type="paragraph" w:customStyle="1" w:styleId="Textbody">
    <w:name w:val="Text body"/>
    <w:basedOn w:val="Standard"/>
    <w:rsid w:val="00676DAF"/>
    <w:pPr>
      <w:spacing w:after="120"/>
    </w:pPr>
  </w:style>
  <w:style w:type="paragraph" w:styleId="List">
    <w:name w:val="List"/>
    <w:basedOn w:val="Textbody"/>
    <w:rsid w:val="00676DAF"/>
  </w:style>
  <w:style w:type="paragraph" w:styleId="Caption">
    <w:name w:val="caption"/>
    <w:basedOn w:val="Standard"/>
    <w:rsid w:val="00676DAF"/>
    <w:pPr>
      <w:suppressLineNumbers/>
      <w:spacing w:before="120" w:after="120"/>
    </w:pPr>
    <w:rPr>
      <w:i/>
    </w:rPr>
  </w:style>
  <w:style w:type="paragraph" w:customStyle="1" w:styleId="Index">
    <w:name w:val="Index"/>
    <w:basedOn w:val="Standard"/>
    <w:rsid w:val="00676DAF"/>
    <w:pPr>
      <w:suppressLineNumbers/>
    </w:pPr>
  </w:style>
  <w:style w:type="paragraph" w:customStyle="1" w:styleId="TableContents">
    <w:name w:val="Table Contents"/>
    <w:basedOn w:val="Standard"/>
    <w:rsid w:val="00676DAF"/>
    <w:pPr>
      <w:suppressLineNumbers/>
    </w:pPr>
  </w:style>
  <w:style w:type="paragraph" w:customStyle="1" w:styleId="TableHeading">
    <w:name w:val="Table Heading"/>
    <w:basedOn w:val="TableContents"/>
    <w:rsid w:val="00676DAF"/>
    <w:pPr>
      <w:jc w:val="center"/>
    </w:pPr>
    <w:rPr>
      <w:b/>
    </w:rPr>
  </w:style>
  <w:style w:type="character" w:customStyle="1" w:styleId="Absatz-Standardschriftart">
    <w:name w:val="Absatz-Standardschriftart"/>
    <w:rsid w:val="00676DAF"/>
  </w:style>
  <w:style w:type="character" w:customStyle="1" w:styleId="WW-Absatz-Standardschriftart">
    <w:name w:val="WW-Absatz-Standardschriftart"/>
    <w:rsid w:val="00676DAF"/>
  </w:style>
  <w:style w:type="character" w:customStyle="1" w:styleId="WW-Absatz-Standardschriftart1">
    <w:name w:val="WW-Absatz-Standardschriftart1"/>
    <w:rsid w:val="00676DAF"/>
  </w:style>
  <w:style w:type="character" w:customStyle="1" w:styleId="WW-Absatz-Standardschriftart11">
    <w:name w:val="WW-Absatz-Standardschriftart11"/>
    <w:rsid w:val="00676DAF"/>
  </w:style>
  <w:style w:type="character" w:customStyle="1" w:styleId="WW-Absatz-Standardschriftart111">
    <w:name w:val="WW-Absatz-Standardschriftart111"/>
    <w:rsid w:val="00676DAF"/>
  </w:style>
  <w:style w:type="character" w:customStyle="1" w:styleId="WW-Absatz-Standardschriftart1111">
    <w:name w:val="WW-Absatz-Standardschriftart1111"/>
    <w:rsid w:val="00676DAF"/>
  </w:style>
  <w:style w:type="character" w:customStyle="1" w:styleId="WW-Absatz-Standardschriftart11111">
    <w:name w:val="WW-Absatz-Standardschriftart11111"/>
    <w:rsid w:val="00676DAF"/>
  </w:style>
  <w:style w:type="character" w:customStyle="1" w:styleId="WW-Absatz-Standardschriftart111111">
    <w:name w:val="WW-Absatz-Standardschriftart111111"/>
    <w:rsid w:val="00676DAF"/>
  </w:style>
  <w:style w:type="character" w:customStyle="1" w:styleId="Internetlink">
    <w:name w:val="Internet link"/>
    <w:rsid w:val="00676DAF"/>
    <w:rPr>
      <w:color w:val="000080"/>
      <w:u w:val="single"/>
    </w:rPr>
  </w:style>
  <w:style w:type="character" w:customStyle="1" w:styleId="NumberingSymbols">
    <w:name w:val="Numbering Symbols"/>
    <w:rsid w:val="00676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6DAF"/>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76DAF"/>
    <w:pPr>
      <w:suppressAutoHyphens/>
    </w:pPr>
    <w:rPr>
      <w:rFonts w:eastAsia="Times New Roman" w:cs="Times New Roman"/>
      <w:szCs w:val="20"/>
    </w:rPr>
  </w:style>
  <w:style w:type="paragraph" w:customStyle="1" w:styleId="Heading">
    <w:name w:val="Heading"/>
    <w:basedOn w:val="Standard"/>
    <w:next w:val="Textbody"/>
    <w:rsid w:val="00676DAF"/>
    <w:pPr>
      <w:keepNext/>
      <w:spacing w:before="240" w:after="120"/>
    </w:pPr>
    <w:rPr>
      <w:rFonts w:ascii="Arial" w:hAnsi="Arial"/>
      <w:sz w:val="28"/>
    </w:rPr>
  </w:style>
  <w:style w:type="paragraph" w:customStyle="1" w:styleId="Textbody">
    <w:name w:val="Text body"/>
    <w:basedOn w:val="Standard"/>
    <w:rsid w:val="00676DAF"/>
    <w:pPr>
      <w:spacing w:after="120"/>
    </w:pPr>
  </w:style>
  <w:style w:type="paragraph" w:styleId="List">
    <w:name w:val="List"/>
    <w:basedOn w:val="Textbody"/>
    <w:rsid w:val="00676DAF"/>
  </w:style>
  <w:style w:type="paragraph" w:styleId="Caption">
    <w:name w:val="caption"/>
    <w:basedOn w:val="Standard"/>
    <w:rsid w:val="00676DAF"/>
    <w:pPr>
      <w:suppressLineNumbers/>
      <w:spacing w:before="120" w:after="120"/>
    </w:pPr>
    <w:rPr>
      <w:i/>
    </w:rPr>
  </w:style>
  <w:style w:type="paragraph" w:customStyle="1" w:styleId="Index">
    <w:name w:val="Index"/>
    <w:basedOn w:val="Standard"/>
    <w:rsid w:val="00676DAF"/>
    <w:pPr>
      <w:suppressLineNumbers/>
    </w:pPr>
  </w:style>
  <w:style w:type="paragraph" w:customStyle="1" w:styleId="TableContents">
    <w:name w:val="Table Contents"/>
    <w:basedOn w:val="Standard"/>
    <w:rsid w:val="00676DAF"/>
    <w:pPr>
      <w:suppressLineNumbers/>
    </w:pPr>
  </w:style>
  <w:style w:type="paragraph" w:customStyle="1" w:styleId="TableHeading">
    <w:name w:val="Table Heading"/>
    <w:basedOn w:val="TableContents"/>
    <w:rsid w:val="00676DAF"/>
    <w:pPr>
      <w:jc w:val="center"/>
    </w:pPr>
    <w:rPr>
      <w:b/>
    </w:rPr>
  </w:style>
  <w:style w:type="character" w:customStyle="1" w:styleId="Absatz-Standardschriftart">
    <w:name w:val="Absatz-Standardschriftart"/>
    <w:rsid w:val="00676DAF"/>
  </w:style>
  <w:style w:type="character" w:customStyle="1" w:styleId="WW-Absatz-Standardschriftart">
    <w:name w:val="WW-Absatz-Standardschriftart"/>
    <w:rsid w:val="00676DAF"/>
  </w:style>
  <w:style w:type="character" w:customStyle="1" w:styleId="WW-Absatz-Standardschriftart1">
    <w:name w:val="WW-Absatz-Standardschriftart1"/>
    <w:rsid w:val="00676DAF"/>
  </w:style>
  <w:style w:type="character" w:customStyle="1" w:styleId="WW-Absatz-Standardschriftart11">
    <w:name w:val="WW-Absatz-Standardschriftart11"/>
    <w:rsid w:val="00676DAF"/>
  </w:style>
  <w:style w:type="character" w:customStyle="1" w:styleId="WW-Absatz-Standardschriftart111">
    <w:name w:val="WW-Absatz-Standardschriftart111"/>
    <w:rsid w:val="00676DAF"/>
  </w:style>
  <w:style w:type="character" w:customStyle="1" w:styleId="WW-Absatz-Standardschriftart1111">
    <w:name w:val="WW-Absatz-Standardschriftart1111"/>
    <w:rsid w:val="00676DAF"/>
  </w:style>
  <w:style w:type="character" w:customStyle="1" w:styleId="WW-Absatz-Standardschriftart11111">
    <w:name w:val="WW-Absatz-Standardschriftart11111"/>
    <w:rsid w:val="00676DAF"/>
  </w:style>
  <w:style w:type="character" w:customStyle="1" w:styleId="WW-Absatz-Standardschriftart111111">
    <w:name w:val="WW-Absatz-Standardschriftart111111"/>
    <w:rsid w:val="00676DAF"/>
  </w:style>
  <w:style w:type="character" w:customStyle="1" w:styleId="Internetlink">
    <w:name w:val="Internet link"/>
    <w:rsid w:val="00676DAF"/>
    <w:rPr>
      <w:color w:val="000080"/>
      <w:u w:val="single"/>
    </w:rPr>
  </w:style>
  <w:style w:type="character" w:customStyle="1" w:styleId="NumberingSymbols">
    <w:name w:val="Numbering Symbols"/>
    <w:rsid w:val="0067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2\CA6E0FE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CA6E0FE4</Template>
  <TotalTime>0</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Boulton</cp:lastModifiedBy>
  <cp:revision>2</cp:revision>
  <cp:lastPrinted>2013-03-03T12:12:00Z</cp:lastPrinted>
  <dcterms:created xsi:type="dcterms:W3CDTF">2013-03-03T12:14:00Z</dcterms:created>
  <dcterms:modified xsi:type="dcterms:W3CDTF">2013-03-03T12:14:00Z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